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728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72833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Sacks Jonathan S</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Veradigm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MDRX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tcBorders>
              <w:top w:val="single" w:sz="8" w:color="0000EE"/>
            </w:tcBorders>
          </w:tcPr>
          <w:p>
            <w:pPr>
              <w:spacing w:after="0"/>
              <w:rPr>
                <w:sz w:val="5"/>
                <w:szCs w:val="5"/>
                <w:color w:val="auto"/>
              </w:rPr>
            </w:pPr>
          </w:p>
        </w:tc>
        <w:tc>
          <w:tcPr>
            <w:tcW w:w="2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700" w:type="dxa"/>
            <w:vAlign w:val="bottom"/>
            <w:tcBorders>
              <w:top w:val="single" w:sz="8" w:color="0000EE"/>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700" w:type="dxa"/>
            <w:vAlign w:val="bottom"/>
            <w:tcBorders>
              <w:top w:val="single" w:sz="8" w:color="EEEEEE"/>
            </w:tcBorders>
          </w:tcPr>
          <w:p>
            <w:pPr>
              <w:spacing w:after="0"/>
              <w:rPr>
                <w:sz w:val="4"/>
                <w:szCs w:val="4"/>
                <w:color w:val="auto"/>
              </w:rPr>
            </w:pPr>
          </w:p>
        </w:tc>
        <w:tc>
          <w:tcPr>
            <w:tcW w:w="520" w:type="dxa"/>
            <w:vAlign w:val="bottom"/>
            <w:tcBorders>
              <w:top w:val="single" w:sz="8" w:color="EEEEEE"/>
            </w:tcBorders>
          </w:tcPr>
          <w:p>
            <w:pPr>
              <w:spacing w:after="0"/>
              <w:rPr>
                <w:sz w:val="4"/>
                <w:szCs w:val="4"/>
                <w:color w:val="auto"/>
              </w:rPr>
            </w:pPr>
          </w:p>
        </w:tc>
        <w:tc>
          <w:tcPr>
            <w:tcW w:w="164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STONEHILL CAPITAL MANAGEMENT</w:t>
            </w:r>
          </w:p>
        </w:tc>
        <w:tc>
          <w:tcPr>
            <w:tcW w:w="13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06/01/2026</w:t>
            </w:r>
          </w:p>
        </w:tc>
        <w:tc>
          <w:tcPr>
            <w:tcW w:w="2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54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LLC</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64" w:lineRule="exact"/>
        <w:rPr>
          <w:sz w:val="20"/>
          <w:szCs w:val="20"/>
          <w:color w:val="auto"/>
        </w:rPr>
      </w:pPr>
    </w:p>
    <w:p>
      <w:pPr>
        <w:sectPr>
          <w:pgSz w:w="11900" w:h="16838" w:orient="portrait"/>
          <w:cols w:equalWidth="0" w:num="2">
            <w:col w:w="7660" w:space="75"/>
            <w:col w:w="3265"/>
          </w:cols>
          <w:pgMar w:left="460" w:top="219" w:right="439" w:bottom="1440" w:gutter="0" w:footer="0" w:header="0"/>
          <w:type w:val="continuous"/>
        </w:sect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320 PARK AVENUE, 26TH FLOOR</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3420" w:type="dxa"/>
            <w:vAlign w:val="bottom"/>
            <w:tcBorders>
              <w:top w:val="single" w:sz="8" w:color="2C2C2C"/>
            </w:tcBorders>
            <w:gridSpan w:val="4"/>
          </w:tcPr>
          <w:p>
            <w:pPr>
              <w:ind w:left="40"/>
              <w:spacing w:after="0"/>
              <w:rPr>
                <w:sz w:val="20"/>
                <w:szCs w:val="20"/>
                <w:color w:val="auto"/>
              </w:rPr>
            </w:pPr>
            <w:r>
              <w:rPr>
                <w:rFonts w:ascii="Arial" w:cs="Arial" w:eastAsia="Arial" w:hAnsi="Arial"/>
                <w:sz w:val="13"/>
                <w:szCs w:val="13"/>
                <w:color w:val="auto"/>
              </w:rPr>
              <w:t>4. If Amendment, Date of Original Filed (Month/Day/Year)</w:t>
            </w:r>
          </w:p>
        </w:tc>
        <w:tc>
          <w:tcPr>
            <w:tcW w:w="380" w:type="dxa"/>
            <w:vAlign w:val="bottom"/>
            <w:tcBorders>
              <w:top w:val="single" w:sz="8" w:color="2C2C2C"/>
            </w:tcBorders>
          </w:tcPr>
          <w:p>
            <w:pPr>
              <w:spacing w:after="0"/>
              <w:rPr>
                <w:sz w:val="18"/>
                <w:szCs w:val="18"/>
                <w:color w:val="auto"/>
              </w:rPr>
            </w:pPr>
          </w:p>
        </w:tc>
        <w:tc>
          <w:tcPr>
            <w:tcW w:w="3280" w:type="dxa"/>
            <w:vAlign w:val="bottom"/>
            <w:tcBorders>
              <w:top w:val="single" w:sz="8" w:color="2C2C2C"/>
            </w:tcBorders>
            <w:gridSpan w:val="4"/>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90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9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40" w:type="dxa"/>
            <w:vAlign w:val="bottom"/>
            <w:gridSpan w:val="4"/>
          </w:tcPr>
          <w:p>
            <w:pPr>
              <w:ind w:left="4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800" w:type="dxa"/>
            <w:vAlign w:val="bottom"/>
          </w:tcPr>
          <w:p>
            <w:pPr>
              <w:spacing w:after="0"/>
              <w:rPr>
                <w:sz w:val="6"/>
                <w:szCs w:val="6"/>
                <w:color w:val="auto"/>
              </w:rPr>
            </w:pPr>
          </w:p>
        </w:tc>
        <w:tc>
          <w:tcPr>
            <w:tcW w:w="900" w:type="dxa"/>
            <w:vAlign w:val="bottom"/>
          </w:tcPr>
          <w:p>
            <w:pPr>
              <w:spacing w:after="0"/>
              <w:rPr>
                <w:sz w:val="6"/>
                <w:szCs w:val="6"/>
                <w:color w:val="auto"/>
              </w:rPr>
            </w:pPr>
          </w:p>
        </w:tc>
        <w:tc>
          <w:tcPr>
            <w:tcW w:w="8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140" w:type="dxa"/>
            <w:vAlign w:val="bottom"/>
            <w:gridSpan w:val="4"/>
            <w:vMerge w:val="restart"/>
          </w:tcPr>
          <w:p>
            <w:pPr>
              <w:ind w:left="4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76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10022</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14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17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vMerge w:val="restart"/>
          </w:tcPr>
          <w:p>
            <w:pPr>
              <w:ind w:left="42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820" w:type="dxa"/>
            <w:vAlign w:val="bottom"/>
          </w:tcPr>
          <w:p>
            <w:pPr>
              <w:spacing w:after="0"/>
              <w:rPr>
                <w:sz w:val="4"/>
                <w:szCs w:val="4"/>
                <w:color w:val="auto"/>
              </w:rPr>
            </w:pPr>
          </w:p>
        </w:tc>
        <w:tc>
          <w:tcPr>
            <w:tcW w:w="5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9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800" w:type="dxa"/>
            <w:vAlign w:val="bottom"/>
          </w:tcPr>
          <w:p>
            <w:pPr>
              <w:ind w:left="140"/>
              <w:spacing w:after="0"/>
              <w:rPr>
                <w:sz w:val="20"/>
                <w:szCs w:val="20"/>
                <w:color w:val="auto"/>
              </w:rPr>
            </w:pPr>
            <w:r>
              <w:rPr>
                <w:rFonts w:ascii="Arial" w:cs="Arial" w:eastAsia="Arial" w:hAnsi="Arial"/>
                <w:sz w:val="13"/>
                <w:szCs w:val="13"/>
                <w:color w:val="auto"/>
              </w:rPr>
              <w:t>(State)</w:t>
            </w:r>
          </w:p>
        </w:tc>
        <w:tc>
          <w:tcPr>
            <w:tcW w:w="900" w:type="dxa"/>
            <w:vAlign w:val="bottom"/>
          </w:tcPr>
          <w:p>
            <w:pPr>
              <w:ind w:left="560"/>
              <w:spacing w:after="0"/>
              <w:rPr>
                <w:sz w:val="20"/>
                <w:szCs w:val="20"/>
                <w:color w:val="auto"/>
              </w:rPr>
            </w:pPr>
            <w:r>
              <w:rPr>
                <w:rFonts w:ascii="Arial" w:cs="Arial" w:eastAsia="Arial" w:hAnsi="Arial"/>
                <w:sz w:val="13"/>
                <w:szCs w:val="13"/>
                <w:color w:val="auto"/>
              </w:rPr>
              <w:t>(Zip)</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000" w:type="dxa"/>
            <w:vAlign w:val="bottom"/>
            <w:tcBorders>
              <w:bottom w:val="single" w:sz="8" w:color="2C2C2C"/>
            </w:tcBorders>
            <w:gridSpan w:val="7"/>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0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6980" w:type="dxa"/>
            <w:vAlign w:val="bottom"/>
            <w:tcBorders>
              <w:top w:val="single" w:sz="8" w:color="2C2C2C"/>
            </w:tcBorders>
            <w:gridSpan w:val="11"/>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10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900" w:type="dxa"/>
            <w:vAlign w:val="bottom"/>
          </w:tcPr>
          <w:p>
            <w:pPr>
              <w:spacing w:after="0"/>
              <w:rPr>
                <w:sz w:val="15"/>
                <w:szCs w:val="15"/>
                <w:color w:val="auto"/>
              </w:rPr>
            </w:pPr>
          </w:p>
        </w:tc>
        <w:tc>
          <w:tcPr>
            <w:tcW w:w="980" w:type="dxa"/>
            <w:vAlign w:val="bottom"/>
            <w:gridSpan w:val="3"/>
          </w:tcPr>
          <w:p>
            <w:pPr>
              <w:ind w:left="60"/>
              <w:spacing w:after="0"/>
              <w:rPr>
                <w:sz w:val="20"/>
                <w:szCs w:val="20"/>
                <w:color w:val="auto"/>
              </w:rPr>
            </w:pPr>
            <w:r>
              <w:rPr>
                <w:rFonts w:ascii="Arial" w:cs="Arial" w:eastAsia="Arial" w:hAnsi="Arial"/>
                <w:sz w:val="12"/>
                <w:szCs w:val="12"/>
                <w:b w:val="1"/>
                <w:bCs w:val="1"/>
                <w:color w:val="auto"/>
              </w:rPr>
              <w:t>2. Transaction</w:t>
            </w:r>
          </w:p>
        </w:tc>
        <w:tc>
          <w:tcPr>
            <w:tcW w:w="1260" w:type="dxa"/>
            <w:vAlign w:val="bottom"/>
          </w:tcPr>
          <w:p>
            <w:pPr>
              <w:ind w:left="2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5"/>
                <w:szCs w:val="15"/>
                <w:color w:val="auto"/>
              </w:rPr>
            </w:pP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0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900" w:type="dxa"/>
            <w:vAlign w:val="bottom"/>
          </w:tcPr>
          <w:p>
            <w:pPr>
              <w:spacing w:after="0"/>
              <w:rPr>
                <w:sz w:val="6"/>
                <w:szCs w:val="6"/>
                <w:color w:val="auto"/>
              </w:rPr>
            </w:pPr>
          </w:p>
        </w:tc>
        <w:tc>
          <w:tcPr>
            <w:tcW w:w="8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11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0" w:type="dxa"/>
            <w:vAlign w:val="bottom"/>
          </w:tcPr>
          <w:p>
            <w:pPr>
              <w:spacing w:after="0"/>
              <w:rPr>
                <w:sz w:val="8"/>
                <w:szCs w:val="8"/>
                <w:color w:val="auto"/>
              </w:rPr>
            </w:pPr>
          </w:p>
        </w:tc>
        <w:tc>
          <w:tcPr>
            <w:tcW w:w="9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3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900" w:type="dxa"/>
            <w:vAlign w:val="bottom"/>
          </w:tcPr>
          <w:p>
            <w:pPr>
              <w:spacing w:after="0"/>
              <w:rPr>
                <w:sz w:val="5"/>
                <w:szCs w:val="5"/>
                <w:color w:val="auto"/>
              </w:rPr>
            </w:pPr>
          </w:p>
        </w:tc>
        <w:tc>
          <w:tcPr>
            <w:tcW w:w="8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880" w:type="dxa"/>
            <w:vAlign w:val="bottom"/>
            <w:tcBorders>
              <w:bottom w:val="single" w:sz="8" w:color="2C2C2C"/>
            </w:tcBorders>
            <w:gridSpan w:val="4"/>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8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98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06/01/2026</w:t>
            </w:r>
          </w:p>
        </w:tc>
        <w:tc>
          <w:tcPr>
            <w:tcW w:w="126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2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42,507</w:t>
            </w:r>
            <w:r>
              <w:rPr>
                <w:rFonts w:ascii="Times New Roman" w:cs="Times New Roman" w:eastAsia="Times New Roman" w:hAnsi="Times New Roman"/>
                <w:sz w:val="22"/>
                <w:szCs w:val="22"/>
                <w:color w:val="008000"/>
                <w:vertAlign w:val="superscript"/>
              </w:rPr>
              <w:t>(1)</w:t>
            </w:r>
          </w:p>
        </w:tc>
        <w:tc>
          <w:tcPr>
            <w:tcW w:w="5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380" w:type="dxa"/>
            <w:vAlign w:val="bottom"/>
            <w:vMerge w:val="restart"/>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00" w:type="dxa"/>
            <w:vAlign w:val="bottom"/>
            <w:gridSpan w:val="2"/>
            <w:vMerge w:val="restart"/>
          </w:tcPr>
          <w:p>
            <w:pPr>
              <w:jc w:val="right"/>
              <w:ind w:right="278"/>
              <w:spacing w:after="0"/>
              <w:rPr>
                <w:sz w:val="20"/>
                <w:szCs w:val="20"/>
                <w:color w:val="auto"/>
              </w:rPr>
            </w:pPr>
            <w:r>
              <w:rPr>
                <w:rFonts w:ascii="Times New Roman" w:cs="Times New Roman" w:eastAsia="Times New Roman" w:hAnsi="Times New Roman"/>
                <w:sz w:val="17"/>
                <w:szCs w:val="17"/>
                <w:color w:val="0000FF"/>
              </w:rPr>
              <w:t>97,715</w:t>
            </w:r>
          </w:p>
        </w:tc>
        <w:tc>
          <w:tcPr>
            <w:tcW w:w="900" w:type="dxa"/>
            <w:vAlign w:val="bottom"/>
            <w:vMerge w:val="restart"/>
          </w:tcPr>
          <w:p>
            <w:pPr>
              <w:ind w:left="320"/>
              <w:spacing w:after="0"/>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(4)</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80" w:type="dxa"/>
            <w:vAlign w:val="bottom"/>
            <w:gridSpan w:val="3"/>
            <w:vMerge w:val="continue"/>
          </w:tcPr>
          <w:p>
            <w:pPr>
              <w:spacing w:after="0"/>
              <w:rPr>
                <w:sz w:val="15"/>
                <w:szCs w:val="15"/>
                <w:color w:val="auto"/>
              </w:rPr>
            </w:pPr>
          </w:p>
        </w:tc>
        <w:tc>
          <w:tcPr>
            <w:tcW w:w="12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820" w:type="dxa"/>
            <w:vAlign w:val="bottom"/>
          </w:tcPr>
          <w:p>
            <w:pPr>
              <w:spacing w:after="0"/>
              <w:rPr>
                <w:sz w:val="4"/>
                <w:szCs w:val="4"/>
                <w:color w:val="auto"/>
              </w:rPr>
            </w:pPr>
          </w:p>
        </w:tc>
        <w:tc>
          <w:tcPr>
            <w:tcW w:w="5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51" w:lineRule="exact"/>
        <w:rPr>
          <w:sz w:val="20"/>
          <w:szCs w:val="20"/>
          <w:color w:val="auto"/>
        </w:rPr>
      </w:pPr>
    </w:p>
    <w:p>
      <w:pPr>
        <w:sectPr>
          <w:pgSz w:w="11900" w:h="16838" w:orient="portrait"/>
          <w:cols w:equalWidth="0" w:num="1">
            <w:col w:w="11000"/>
          </w:cols>
          <w:pgMar w:left="460" w:top="219" w:right="439" w:bottom="1440" w:gutter="0" w:footer="0" w:header="0"/>
          <w:type w:val="continuous"/>
        </w:sectPr>
      </w:pPr>
    </w:p>
    <w:p>
      <w:pPr>
        <w:spacing w:after="0" w:line="6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0000FF"/>
        </w:rPr>
        <w:t>Common Stock, par value $0.01 per</w:t>
      </w:r>
    </w:p>
    <w:p>
      <w:pPr>
        <w:spacing w:after="0" w:line="3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0000FF"/>
        </w:rPr>
        <w:t>share</w:t>
      </w:r>
    </w:p>
    <w:p>
      <w:pPr>
        <w:spacing w:after="0" w:line="13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0000FF"/>
        </w:rPr>
        <w:t>Common Stock, par value $0.01 per</w:t>
      </w:r>
    </w:p>
    <w:p>
      <w:pPr>
        <w:spacing w:after="0" w:line="3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0000FF"/>
        </w:rPr>
        <w:t>share</w:t>
      </w:r>
    </w:p>
    <w:p>
      <w:pPr>
        <w:spacing w:after="0" w:line="20" w:lineRule="exact"/>
        <w:rPr>
          <w:sz w:val="20"/>
          <w:szCs w:val="20"/>
          <w:color w:val="auto"/>
        </w:rPr>
      </w:pPr>
      <w:r>
        <w:rPr>
          <w:sz w:val="20"/>
          <w:szCs w:val="20"/>
          <w:color w:val="auto"/>
        </w:rPr>
        <w:br w:type="column"/>
      </w:r>
    </w:p>
    <w:p>
      <w:pPr>
        <w:ind w:left="40"/>
        <w:spacing w:after="0"/>
        <w:tabs>
          <w:tab w:leader="none" w:pos="1360" w:val="left"/>
          <w:tab w:leader="none" w:pos="1900" w:val="left"/>
        </w:tabs>
        <w:rPr>
          <w:sz w:val="20"/>
          <w:szCs w:val="20"/>
          <w:color w:val="auto"/>
        </w:rPr>
      </w:pPr>
      <w:r>
        <w:rPr>
          <w:rFonts w:ascii="Times New Roman" w:cs="Times New Roman" w:eastAsia="Times New Roman" w:hAnsi="Times New Roman"/>
          <w:sz w:val="17"/>
          <w:szCs w:val="17"/>
          <w:color w:val="0000FF"/>
        </w:rPr>
        <w:t>9,612,586</w:t>
      </w:r>
      <w:r>
        <w:rPr>
          <w:sz w:val="20"/>
          <w:szCs w:val="20"/>
          <w:color w:val="auto"/>
        </w:rPr>
        <w:tab/>
      </w:r>
      <w:r>
        <w:rPr>
          <w:rFonts w:ascii="Times New Roman" w:cs="Times New Roman" w:eastAsia="Times New Roman" w:hAnsi="Times New Roman"/>
          <w:sz w:val="17"/>
          <w:szCs w:val="17"/>
          <w:color w:val="0000FF"/>
        </w:rPr>
        <w:t>I</w:t>
      </w:r>
      <w:r>
        <w:rPr>
          <w:sz w:val="20"/>
          <w:szCs w:val="20"/>
          <w:color w:val="auto"/>
        </w:rPr>
        <w:tab/>
      </w:r>
      <w:r>
        <w:rPr>
          <w:rFonts w:ascii="Times New Roman" w:cs="Times New Roman" w:eastAsia="Times New Roman" w:hAnsi="Times New Roman"/>
          <w:sz w:val="26"/>
          <w:szCs w:val="26"/>
          <w:color w:val="0000FF"/>
          <w:vertAlign w:val="superscript"/>
        </w:rPr>
        <w:t>See</w:t>
      </w:r>
    </w:p>
    <w:p>
      <w:pPr>
        <w:ind w:left="1920"/>
        <w:spacing w:after="0"/>
        <w:rPr>
          <w:sz w:val="20"/>
          <w:szCs w:val="20"/>
          <w:color w:val="auto"/>
        </w:rPr>
      </w:pPr>
      <w:r>
        <w:rPr>
          <w:rFonts w:ascii="Times New Roman" w:cs="Times New Roman" w:eastAsia="Times New Roman" w:hAnsi="Times New Roman"/>
          <w:sz w:val="15"/>
          <w:szCs w:val="15"/>
          <w:color w:val="0000FF"/>
        </w:rPr>
        <w:t>Footnotes</w:t>
      </w:r>
      <w:r>
        <w:rPr>
          <w:rFonts w:ascii="Times New Roman" w:cs="Times New Roman" w:eastAsia="Times New Roman" w:hAnsi="Times New Roman"/>
          <w:sz w:val="19"/>
          <w:szCs w:val="19"/>
          <w:color w:val="008000"/>
          <w:vertAlign w:val="superscript"/>
        </w:rPr>
        <w:t>(2)(4)</w:t>
      </w:r>
    </w:p>
    <w:p>
      <w:pPr>
        <w:spacing w:after="0" w:line="39" w:lineRule="exact"/>
        <w:rPr>
          <w:sz w:val="20"/>
          <w:szCs w:val="20"/>
          <w:color w:val="auto"/>
        </w:rPr>
      </w:pPr>
    </w:p>
    <w:p>
      <w:pPr>
        <w:spacing w:after="0"/>
        <w:tabs>
          <w:tab w:leader="none" w:pos="1360" w:val="left"/>
          <w:tab w:leader="none" w:pos="1900" w:val="left"/>
        </w:tabs>
        <w:rPr>
          <w:sz w:val="20"/>
          <w:szCs w:val="20"/>
          <w:color w:val="auto"/>
        </w:rPr>
      </w:pPr>
      <w:r>
        <w:rPr>
          <w:rFonts w:ascii="Times New Roman" w:cs="Times New Roman" w:eastAsia="Times New Roman" w:hAnsi="Times New Roman"/>
          <w:sz w:val="17"/>
          <w:szCs w:val="17"/>
          <w:color w:val="0000FF"/>
        </w:rPr>
        <w:t>11,435,151</w:t>
      </w:r>
      <w:r>
        <w:rPr>
          <w:sz w:val="20"/>
          <w:szCs w:val="20"/>
          <w:color w:val="auto"/>
        </w:rPr>
        <w:tab/>
      </w:r>
      <w:r>
        <w:rPr>
          <w:rFonts w:ascii="Times New Roman" w:cs="Times New Roman" w:eastAsia="Times New Roman" w:hAnsi="Times New Roman"/>
          <w:sz w:val="17"/>
          <w:szCs w:val="17"/>
          <w:color w:val="0000FF"/>
        </w:rPr>
        <w:t>I</w:t>
      </w:r>
      <w:r>
        <w:rPr>
          <w:sz w:val="20"/>
          <w:szCs w:val="20"/>
          <w:color w:val="auto"/>
        </w:rPr>
        <w:tab/>
      </w:r>
      <w:r>
        <w:rPr>
          <w:rFonts w:ascii="Times New Roman" w:cs="Times New Roman" w:eastAsia="Times New Roman" w:hAnsi="Times New Roman"/>
          <w:sz w:val="26"/>
          <w:szCs w:val="26"/>
          <w:color w:val="0000FF"/>
          <w:vertAlign w:val="superscript"/>
        </w:rPr>
        <w:t>See</w:t>
      </w:r>
    </w:p>
    <w:p>
      <w:pPr>
        <w:ind w:left="1920"/>
        <w:spacing w:after="0"/>
        <w:rPr>
          <w:sz w:val="20"/>
          <w:szCs w:val="20"/>
          <w:color w:val="auto"/>
        </w:rPr>
      </w:pPr>
      <w:r>
        <w:rPr>
          <w:rFonts w:ascii="Times New Roman" w:cs="Times New Roman" w:eastAsia="Times New Roman" w:hAnsi="Times New Roman"/>
          <w:sz w:val="15"/>
          <w:szCs w:val="15"/>
          <w:color w:val="0000FF"/>
        </w:rPr>
        <w:t>Footnotes</w:t>
      </w:r>
      <w:r>
        <w:rPr>
          <w:rFonts w:ascii="Times New Roman" w:cs="Times New Roman" w:eastAsia="Times New Roman" w:hAnsi="Times New Roman"/>
          <w:sz w:val="19"/>
          <w:szCs w:val="19"/>
          <w:color w:val="008000"/>
          <w:vertAlign w:val="superscript"/>
        </w:rPr>
        <w:t>(3)(4)</w:t>
      </w:r>
    </w:p>
    <w:p>
      <w:pPr>
        <w:spacing w:after="0" w:line="134" w:lineRule="exact"/>
        <w:rPr>
          <w:sz w:val="20"/>
          <w:szCs w:val="20"/>
          <w:color w:val="auto"/>
        </w:rPr>
      </w:pPr>
    </w:p>
    <w:p>
      <w:pPr>
        <w:sectPr>
          <w:pgSz w:w="11900" w:h="16838" w:orient="portrait"/>
          <w:cols w:equalWidth="0" w:num="2">
            <w:col w:w="7300" w:space="720"/>
            <w:col w:w="2980"/>
          </w:cols>
          <w:pgMar w:left="460" w:top="219" w:right="439" w:bottom="1440" w:gutter="0" w:footer="0" w:header="0"/>
          <w:type w:val="continuous"/>
        </w:sect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Award of Restricted Stock Units granted under the Veradigm, Inc. Amended and Restated 2024 Stock Incentive Plan on June 1, 2026 (the "Grant Date"). The grant vests 100% on the first anniversary of the Grant Date.</w:t>
      </w:r>
    </w:p>
    <w:p>
      <w:pPr>
        <w:spacing w:after="0" w:line="7" w:lineRule="exact"/>
        <w:rPr>
          <w:rFonts w:ascii="Times New Roman" w:cs="Times New Roman" w:eastAsia="Times New Roman" w:hAnsi="Times New Roman"/>
          <w:sz w:val="13"/>
          <w:szCs w:val="13"/>
          <w:color w:val="008000"/>
        </w:rPr>
      </w:pPr>
    </w:p>
    <w:p>
      <w:pPr>
        <w:ind w:left="40" w:right="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directly by Stonehill Master Fund Ltd (the "Master Fund"). Stonehill Capital Management LLC ("Management") is the manager of Stonehill Institutional Partners, L.P. (the "Fund") and the Master Fund. The reporting person is a managing member of Management.</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directly by the Fund.</w:t>
      </w:r>
    </w:p>
    <w:p>
      <w:pPr>
        <w:spacing w:after="0" w:line="50"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of the reported securities except to the extent of any pecuniary interests therein, and this report shall not be deemed an admission that the reporting person is the beneficial owner of the securities for purposes of Section 16 or for any other purpose.</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Jonathan S. Sacks</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06/03/2026</w:t>
            </w:r>
          </w:p>
        </w:tc>
      </w:tr>
      <w:tr>
        <w:trPr>
          <w:trHeight w:val="20"/>
        </w:trPr>
        <w:tc>
          <w:tcPr>
            <w:tcW w:w="14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3" Type="http://schemas.openxmlformats.org/officeDocument/2006/relationships/hyperlink" Target="http://www.sec.gov/cgi-bin/browse-edgar?action=getcompany&amp;CIK=0001388803" TargetMode="External"/><Relationship Id="rId14" Type="http://schemas.openxmlformats.org/officeDocument/2006/relationships/hyperlink" Target="http://www.sec.gov/cgi-bin/browse-edgar?action=getcompany&amp;CIK=000112480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2026-06-03T19:58:03Z</dcterms:created>
  <dcterms:modified xsi:type="dcterms:W3CDTF">2026-06-03T19:58:03Z</dcterms:modified>
</cp:coreProperties>
</file>